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7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26"/>
        <w:gridCol w:w="1843"/>
        <w:gridCol w:w="284"/>
        <w:gridCol w:w="2695"/>
        <w:gridCol w:w="2762"/>
      </w:tblGrid>
      <w:tr w:rsidR="004B50F3" w:rsidRPr="00AA0C2C" w:rsidTr="006F3F6B">
        <w:trPr>
          <w:trHeight w:val="390"/>
        </w:trPr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0F3" w:rsidRPr="00AA0C2C" w:rsidRDefault="004B50F3" w:rsidP="0030320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輔具介紹</w:t>
            </w:r>
          </w:p>
        </w:tc>
      </w:tr>
      <w:tr w:rsidR="00576FD8" w:rsidRPr="00AA0C2C" w:rsidTr="006F3F6B">
        <w:trPr>
          <w:trHeight w:val="39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D8" w:rsidRPr="00AA0C2C" w:rsidRDefault="00576FD8" w:rsidP="003032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6B" w:rsidRDefault="00576FD8" w:rsidP="0030320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助聽器-A款</w:t>
            </w:r>
          </w:p>
          <w:p w:rsidR="00576FD8" w:rsidRPr="00AA0C2C" w:rsidRDefault="00576FD8" w:rsidP="003032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（口袋型）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6B" w:rsidRDefault="00576FD8" w:rsidP="00576FD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助聽器-B款</w:t>
            </w:r>
          </w:p>
          <w:p w:rsidR="00576FD8" w:rsidRPr="00AA0C2C" w:rsidRDefault="00576FD8" w:rsidP="00576F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（類比式或手調數位式）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FD8" w:rsidRPr="00AA0C2C" w:rsidRDefault="00576FD8" w:rsidP="00576F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助聽器-C款（數位式）</w:t>
            </w:r>
          </w:p>
        </w:tc>
      </w:tr>
      <w:tr w:rsidR="00576FD8" w:rsidRPr="00AA0C2C" w:rsidTr="006F3F6B">
        <w:trPr>
          <w:trHeight w:val="39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D8" w:rsidRPr="00AA0C2C" w:rsidRDefault="00576FD8" w:rsidP="003032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最低使用年限</w:t>
            </w: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D8" w:rsidRPr="00AA0C2C" w:rsidRDefault="00576FD8" w:rsidP="00576F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三年</w:t>
            </w:r>
          </w:p>
        </w:tc>
      </w:tr>
      <w:tr w:rsidR="00C3499E" w:rsidRPr="00AA0C2C" w:rsidTr="006F3F6B">
        <w:trPr>
          <w:trHeight w:val="1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99E" w:rsidRPr="00C3499E" w:rsidRDefault="00C3499E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99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補助對象</w:t>
            </w:r>
          </w:p>
        </w:tc>
        <w:tc>
          <w:tcPr>
            <w:tcW w:w="97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99E" w:rsidRPr="00E43842" w:rsidRDefault="00C3499E" w:rsidP="00E4384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43842">
              <w:rPr>
                <w:rFonts w:ascii="標楷體" w:eastAsia="標楷體" w:hAnsi="標楷體" w:cs="新細明體" w:hint="eastAsia"/>
                <w:kern w:val="0"/>
                <w:szCs w:val="24"/>
              </w:rPr>
              <w:t>一、補助對象：須符合下列條件之</w:t>
            </w:r>
            <w:proofErr w:type="gramStart"/>
            <w:r w:rsidRPr="00E43842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</w:p>
          <w:p w:rsidR="00C3499E" w:rsidRPr="00E43842" w:rsidRDefault="00C3499E" w:rsidP="00E4384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43842">
              <w:rPr>
                <w:rFonts w:ascii="標楷體" w:eastAsia="標楷體" w:hAnsi="標楷體" w:cs="新細明體" w:hint="eastAsia"/>
                <w:kern w:val="0"/>
                <w:szCs w:val="24"/>
              </w:rPr>
              <w:t>（一）聽障者。</w:t>
            </w:r>
          </w:p>
          <w:p w:rsidR="00C3499E" w:rsidRPr="00C3499E" w:rsidRDefault="00C3499E" w:rsidP="003032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43842">
              <w:rPr>
                <w:rFonts w:ascii="標楷體" w:eastAsia="標楷體" w:hAnsi="標楷體" w:cs="新細明體" w:hint="eastAsia"/>
                <w:kern w:val="0"/>
                <w:szCs w:val="24"/>
              </w:rPr>
              <w:t>（二）</w:t>
            </w:r>
            <w:proofErr w:type="gramStart"/>
            <w:r w:rsidRPr="00E43842">
              <w:rPr>
                <w:rFonts w:ascii="標楷體" w:eastAsia="標楷體" w:hAnsi="標楷體" w:cs="新細明體" w:hint="eastAsia"/>
                <w:kern w:val="0"/>
                <w:szCs w:val="24"/>
              </w:rPr>
              <w:t>具聽障</w:t>
            </w:r>
            <w:proofErr w:type="gramEnd"/>
            <w:r w:rsidRPr="00E43842">
              <w:rPr>
                <w:rFonts w:ascii="標楷體" w:eastAsia="標楷體" w:hAnsi="標楷體" w:cs="新細明體" w:hint="eastAsia"/>
                <w:kern w:val="0"/>
                <w:szCs w:val="24"/>
              </w:rPr>
              <w:t>之多重障礙者。</w:t>
            </w:r>
          </w:p>
        </w:tc>
      </w:tr>
      <w:tr w:rsidR="00576FD8" w:rsidRPr="00AA0C2C" w:rsidTr="006F3F6B">
        <w:trPr>
          <w:trHeight w:val="1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FD8" w:rsidRPr="00C3499E" w:rsidRDefault="00576FD8" w:rsidP="0030320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3499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補助金額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FD8" w:rsidRPr="00E43842" w:rsidRDefault="00576FD8" w:rsidP="003032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助聽器-A款（口袋型）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FD8" w:rsidRPr="00E43842" w:rsidRDefault="00576FD8" w:rsidP="003032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助聽器-B款（類比式或手調數位式）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6FD8" w:rsidRPr="00E43842" w:rsidRDefault="00576FD8" w:rsidP="0030320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助聽器-C款（數位式）</w:t>
            </w:r>
          </w:p>
        </w:tc>
      </w:tr>
      <w:tr w:rsidR="00B3106B" w:rsidRPr="00AA0C2C" w:rsidTr="006F3F6B">
        <w:trPr>
          <w:trHeight w:val="6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6B" w:rsidRPr="00C3499E" w:rsidRDefault="00B3106B" w:rsidP="0030320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6B" w:rsidRPr="00AA0C2C" w:rsidRDefault="00B3106B" w:rsidP="004B5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低收入戶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6B" w:rsidRPr="00AA0C2C" w:rsidRDefault="00B3106B" w:rsidP="000E32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低收入戶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7000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106B" w:rsidRPr="00AA0C2C" w:rsidRDefault="00B3106B" w:rsidP="00E85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低收入戶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</w:tr>
      <w:tr w:rsidR="00B3106B" w:rsidRPr="00AA0C2C" w:rsidTr="006F3F6B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06B" w:rsidRPr="00AA0C2C" w:rsidRDefault="00B3106B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6B" w:rsidRPr="00AA0C2C" w:rsidRDefault="00B3106B" w:rsidP="004B5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中低收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6B" w:rsidRPr="00AA0C2C" w:rsidRDefault="00B3106B" w:rsidP="000E32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中低收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5250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06B" w:rsidRPr="00AA0C2C" w:rsidRDefault="00B3106B" w:rsidP="00E85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中低收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11250</w:t>
            </w:r>
          </w:p>
        </w:tc>
      </w:tr>
      <w:tr w:rsidR="00B3106B" w:rsidRPr="00AA0C2C" w:rsidTr="006F3F6B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06B" w:rsidRPr="00AA0C2C" w:rsidRDefault="00B3106B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06B" w:rsidRPr="00AA0C2C" w:rsidRDefault="00B3106B" w:rsidP="004B5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06B" w:rsidRPr="00AA0C2C" w:rsidRDefault="00B3106B" w:rsidP="000E32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3500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06B" w:rsidRPr="00AA0C2C" w:rsidRDefault="00B3106B" w:rsidP="00E85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7500</w:t>
            </w:r>
          </w:p>
        </w:tc>
      </w:tr>
      <w:tr w:rsidR="00B3106B" w:rsidRPr="00AA0C2C" w:rsidTr="006F3F6B">
        <w:trPr>
          <w:trHeight w:val="6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06B" w:rsidRDefault="00B3106B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  <w:p w:rsidR="00B3106B" w:rsidRPr="00AA0C2C" w:rsidRDefault="00B3106B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06B" w:rsidRPr="00D25D86" w:rsidRDefault="00B3106B" w:rsidP="00D25D86">
            <w:pPr>
              <w:pStyle w:val="ae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A款口袋型：經</w:t>
            </w:r>
            <w:r w:rsidRPr="00D25D86">
              <w:rPr>
                <w:rFonts w:ascii="標楷體" w:eastAsia="標楷體" w:hAnsi="標楷體" w:cs="Times New Roman"/>
                <w:szCs w:val="24"/>
              </w:rPr>
              <w:t>連接</w:t>
            </w:r>
            <w:r w:rsidRPr="00D25D86">
              <w:rPr>
                <w:rFonts w:ascii="標楷體" w:eastAsia="標楷體" w:hAnsi="標楷體" w:cs="Times New Roman" w:hint="eastAsia"/>
                <w:szCs w:val="24"/>
              </w:rPr>
              <w:t>線連接</w:t>
            </w:r>
            <w:r w:rsidRPr="00D25D86">
              <w:rPr>
                <w:rFonts w:ascii="標楷體" w:eastAsia="標楷體" w:hAnsi="標楷體" w:cs="Times New Roman"/>
                <w:szCs w:val="24"/>
              </w:rPr>
              <w:t>助聽器及接收器</w:t>
            </w:r>
            <w:r w:rsidRPr="00D25D86">
              <w:rPr>
                <w:rFonts w:ascii="標楷體" w:eastAsia="標楷體" w:hAnsi="標楷體" w:cs="Times New Roman" w:hint="eastAsia"/>
                <w:szCs w:val="24"/>
              </w:rPr>
              <w:t>，且接受器之體積不適於懸掛耳後或</w:t>
            </w:r>
            <w:proofErr w:type="gramStart"/>
            <w:r w:rsidRPr="00D25D86">
              <w:rPr>
                <w:rFonts w:ascii="標楷體" w:eastAsia="標楷體" w:hAnsi="標楷體" w:cs="Times New Roman" w:hint="eastAsia"/>
                <w:szCs w:val="24"/>
              </w:rPr>
              <w:t>置於耳內</w:t>
            </w:r>
            <w:proofErr w:type="gramEnd"/>
            <w:r w:rsidRPr="00D25D86">
              <w:rPr>
                <w:rFonts w:ascii="標楷體" w:eastAsia="標楷體" w:hAnsi="標楷體" w:cs="Times New Roman" w:hint="eastAsia"/>
                <w:szCs w:val="24"/>
              </w:rPr>
              <w:t>之類比式或數位式之機種，並須具備二個以上音頻控制開關、T線圈感應功能、音量大小調整開關。</w:t>
            </w:r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口袋型以補助一只為限</w:t>
            </w:r>
          </w:p>
          <w:p w:rsidR="00B3106B" w:rsidRPr="00D25D86" w:rsidRDefault="00B3106B" w:rsidP="00D25D86">
            <w:pPr>
              <w:pStyle w:val="ae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B款類比式或手調數位式：</w:t>
            </w:r>
            <w:proofErr w:type="gramStart"/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採</w:t>
            </w:r>
            <w:proofErr w:type="gramEnd"/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類比方式處理聲音訊號或數位型</w:t>
            </w:r>
            <w:proofErr w:type="gramStart"/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採</w:t>
            </w:r>
            <w:proofErr w:type="gramEnd"/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手調方式調整之助聽器。</w:t>
            </w:r>
          </w:p>
          <w:p w:rsidR="00B3106B" w:rsidRPr="00D25D86" w:rsidRDefault="00B3106B" w:rsidP="00D25D86">
            <w:pPr>
              <w:pStyle w:val="ae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十八歲以下或</w:t>
            </w:r>
            <w:r w:rsidRPr="00D25D86">
              <w:rPr>
                <w:rFonts w:ascii="標楷體" w:eastAsia="標楷體" w:hAnsi="標楷體" w:cs="細明體" w:hint="eastAsia"/>
                <w:kern w:val="0"/>
                <w:szCs w:val="24"/>
              </w:rPr>
              <w:t>二十五歲以下仍在國內學校</w:t>
            </w:r>
            <w:proofErr w:type="gramStart"/>
            <w:r w:rsidRPr="00D25D86">
              <w:rPr>
                <w:rFonts w:ascii="標楷體" w:eastAsia="標楷體" w:hAnsi="標楷體" w:cs="細明體" w:hint="eastAsia"/>
                <w:kern w:val="0"/>
                <w:szCs w:val="24"/>
              </w:rPr>
              <w:t>日間部就學者</w:t>
            </w:r>
            <w:proofErr w:type="gramEnd"/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申請C款</w:t>
            </w:r>
            <w:proofErr w:type="gramStart"/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數位式時</w:t>
            </w:r>
            <w:proofErr w:type="gramEnd"/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，其功能規格若符合該款所列基準六種以上，補助金額</w:t>
            </w:r>
            <w:proofErr w:type="gramStart"/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得逾左列</w:t>
            </w:r>
            <w:proofErr w:type="gramEnd"/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規定，上限為單耳二萬元，雙耳四萬元。</w:t>
            </w:r>
          </w:p>
          <w:p w:rsidR="00B3106B" w:rsidRPr="00D25D86" w:rsidRDefault="00B3106B" w:rsidP="00D25D86">
            <w:pPr>
              <w:pStyle w:val="ae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功能及規格未符合C款基準者，補助額度以B款基準為限。</w:t>
            </w:r>
          </w:p>
          <w:p w:rsidR="00B3106B" w:rsidRPr="00D25D86" w:rsidRDefault="00B3106B" w:rsidP="00D25D86">
            <w:pPr>
              <w:pStyle w:val="ae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已裝置人工電子耳</w:t>
            </w:r>
            <w:proofErr w:type="gramStart"/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之該耳不得</w:t>
            </w:r>
            <w:proofErr w:type="gramEnd"/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申請。</w:t>
            </w:r>
          </w:p>
          <w:p w:rsidR="00B3106B" w:rsidRPr="00D25D86" w:rsidRDefault="00B3106B" w:rsidP="00D25D86">
            <w:pPr>
              <w:pStyle w:val="ae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雙耳聽力損失在五十五dB至一百一十dB HL之間補助二只；</w:t>
            </w:r>
            <w:proofErr w:type="gramStart"/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優耳聽力</w:t>
            </w:r>
            <w:proofErr w:type="gramEnd"/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在五十五dB至一百一十dB HL</w:t>
            </w:r>
            <w:proofErr w:type="gramStart"/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之間、劣耳</w:t>
            </w:r>
            <w:proofErr w:type="gramEnd"/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聽力劣於一百一十 dB HL補助一只；聽力損失認定基準</w:t>
            </w:r>
            <w:proofErr w:type="gramStart"/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為氣導聽力檢查</w:t>
            </w:r>
            <w:proofErr w:type="gramEnd"/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頻率五百Hz、一千Hz、二千Hz及四千Hz之平均</w:t>
            </w:r>
            <w:proofErr w:type="gramStart"/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閾</w:t>
            </w:r>
            <w:proofErr w:type="gramEnd"/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值。</w:t>
            </w:r>
          </w:p>
          <w:p w:rsidR="00B3106B" w:rsidRPr="00D25D86" w:rsidRDefault="00B3106B" w:rsidP="00D25D86">
            <w:pPr>
              <w:pStyle w:val="ae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補助單位為一只，</w:t>
            </w:r>
            <w:proofErr w:type="gramStart"/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每側於左</w:t>
            </w:r>
            <w:proofErr w:type="gramEnd"/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列年限內以補助一只為限。雙耳聽力損失經評估符合補助二只，得同時或分別申請，均視為補助</w:t>
            </w:r>
            <w:proofErr w:type="gramStart"/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項次。</w:t>
            </w:r>
          </w:p>
          <w:p w:rsidR="00B3106B" w:rsidRPr="00D25D86" w:rsidRDefault="00B3106B" w:rsidP="00D25D86">
            <w:pPr>
              <w:pStyle w:val="ae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D25D86">
              <w:rPr>
                <w:rFonts w:ascii="標楷體" w:eastAsia="標楷體" w:hAnsi="標楷體" w:cs="新細明體" w:hint="eastAsia"/>
                <w:kern w:val="0"/>
                <w:szCs w:val="24"/>
              </w:rPr>
              <w:t>十二歲以下得每二年申請補助一次。</w:t>
            </w:r>
            <w:bookmarkStart w:id="0" w:name="_GoBack"/>
            <w:bookmarkEnd w:id="0"/>
          </w:p>
        </w:tc>
      </w:tr>
      <w:tr w:rsidR="006F3F6B" w:rsidRPr="00AA0C2C" w:rsidTr="006F3F6B">
        <w:trPr>
          <w:trHeight w:val="46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6B" w:rsidRPr="00AA0C2C" w:rsidRDefault="006F3F6B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圖片說明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F6B" w:rsidRPr="00AA0C2C" w:rsidRDefault="006F3F6B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4324F4">
              <w:rPr>
                <w:rFonts w:hint="eastAsia"/>
                <w:noProof/>
              </w:rPr>
              <w:drawing>
                <wp:inline distT="0" distB="0" distL="0" distR="0" wp14:anchorId="211DC188" wp14:editId="0D962FA3">
                  <wp:extent cx="2616200" cy="2397357"/>
                  <wp:effectExtent l="0" t="0" r="0" b="3175"/>
                  <wp:docPr id="3" name="圖片 3" descr="Panasonic ONWA WH-103JZ(數位雙耳口袋型助聽器)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nasonic ONWA WH-103JZ(數位雙耳口袋型助聽器)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54" cy="239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page" w:tblpX="552" w:tblpY="22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6F3F6B" w:rsidTr="006030C2">
              <w:trPr>
                <w:trHeight w:val="697"/>
              </w:trPr>
              <w:tc>
                <w:tcPr>
                  <w:tcW w:w="3823" w:type="dxa"/>
                </w:tcPr>
                <w:p w:rsidR="006F3F6B" w:rsidRPr="00A8289C" w:rsidRDefault="00A8289C" w:rsidP="00A8289C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助聽器-A款（口袋型）</w:t>
                  </w:r>
                </w:p>
              </w:tc>
            </w:tr>
          </w:tbl>
          <w:p w:rsidR="006F3F6B" w:rsidRPr="006F3F6B" w:rsidRDefault="002A69F5" w:rsidP="006F3F6B">
            <w:hyperlink r:id="rId10" w:history="1">
              <w:r w:rsidR="006F3F6B" w:rsidRPr="00FE609D">
                <w:rPr>
                  <w:rStyle w:val="ad"/>
                </w:rPr>
                <w:t>http://repat.moi.gov.tw/cns/inside_02b2.asp?id=4345</w:t>
              </w:r>
            </w:hyperlink>
          </w:p>
        </w:tc>
      </w:tr>
      <w:tr w:rsidR="006F3F6B" w:rsidRPr="00AA0C2C" w:rsidTr="006F3F6B">
        <w:trPr>
          <w:trHeight w:val="41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6B" w:rsidRPr="00AA0C2C" w:rsidRDefault="006F3F6B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F6B" w:rsidRDefault="006F3F6B" w:rsidP="00303201">
            <w:pPr>
              <w:rPr>
                <w:rFonts w:ascii="Arial" w:hAnsi="Arial" w:cs="Arial"/>
                <w:noProof/>
                <w:color w:val="717070"/>
                <w:spacing w:val="15"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color w:val="717070"/>
                <w:spacing w:val="15"/>
                <w:sz w:val="20"/>
                <w:szCs w:val="20"/>
              </w:rPr>
              <w:drawing>
                <wp:inline distT="0" distB="0" distL="0" distR="0" wp14:anchorId="70E94132" wp14:editId="3F771AEB">
                  <wp:extent cx="2552700" cy="2235200"/>
                  <wp:effectExtent l="0" t="0" r="0" b="0"/>
                  <wp:docPr id="4" name="圖片 4" descr="Milo/ Milo Plus數位式助聽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lo/ Milo Plus數位式助聽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6B" w:rsidRDefault="006F3F6B"/>
          <w:tbl>
            <w:tblPr>
              <w:tblpPr w:leftFromText="180" w:rightFromText="180" w:vertAnchor="text" w:horzAnchor="page" w:tblpX="681" w:tblpY="13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81"/>
            </w:tblGrid>
            <w:tr w:rsidR="006F3F6B" w:rsidTr="00A8289C">
              <w:trPr>
                <w:trHeight w:val="848"/>
              </w:trPr>
              <w:tc>
                <w:tcPr>
                  <w:tcW w:w="3681" w:type="dxa"/>
                </w:tcPr>
                <w:p w:rsidR="006030C2" w:rsidRDefault="00A8289C" w:rsidP="00A8289C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助聽器-B款</w:t>
                  </w:r>
                </w:p>
                <w:p w:rsidR="006F3F6B" w:rsidRPr="00A8289C" w:rsidRDefault="00A8289C" w:rsidP="00A8289C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（類比式或手調數位式）</w:t>
                  </w:r>
                </w:p>
              </w:tc>
            </w:tr>
          </w:tbl>
          <w:p w:rsidR="006F3F6B" w:rsidRDefault="002A69F5" w:rsidP="006F3F6B">
            <w:hyperlink r:id="rId12" w:history="1">
              <w:r w:rsidR="006F3F6B" w:rsidRPr="00FE609D">
                <w:rPr>
                  <w:rStyle w:val="ad"/>
                </w:rPr>
                <w:t>http://repat.moi.gov.tw/cns/inside_02b2.asp?id=4550</w:t>
              </w:r>
            </w:hyperlink>
          </w:p>
        </w:tc>
      </w:tr>
      <w:tr w:rsidR="006F3F6B" w:rsidRPr="00AA0C2C" w:rsidTr="006F3F6B">
        <w:trPr>
          <w:trHeight w:val="42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F6B" w:rsidRPr="00AA0C2C" w:rsidRDefault="006F3F6B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F6B" w:rsidRDefault="006F3F6B" w:rsidP="00303201">
            <w:pPr>
              <w:rPr>
                <w:rFonts w:ascii="Arial" w:hAnsi="Arial" w:cs="Arial"/>
                <w:noProof/>
                <w:color w:val="717070"/>
                <w:spacing w:val="15"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color w:val="717070"/>
                <w:spacing w:val="15"/>
                <w:sz w:val="20"/>
                <w:szCs w:val="20"/>
              </w:rPr>
              <w:drawing>
                <wp:inline distT="0" distB="0" distL="0" distR="0" wp14:anchorId="62D898F5" wp14:editId="2A70D668">
                  <wp:extent cx="2616200" cy="2856821"/>
                  <wp:effectExtent l="0" t="0" r="0" b="1270"/>
                  <wp:docPr id="7" name="圖片 7" descr="西門子助聽器-Siemens Explo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西門子助聽器-Siemens Explor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t="3390" r="12903" b="6780"/>
                          <a:stretch/>
                        </pic:blipFill>
                        <pic:spPr bwMode="auto">
                          <a:xfrm>
                            <a:off x="0" y="0"/>
                            <a:ext cx="2626244" cy="286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page" w:tblpX="721" w:tblpY="120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81"/>
            </w:tblGrid>
            <w:tr w:rsidR="006F3F6B" w:rsidTr="006030C2">
              <w:trPr>
                <w:trHeight w:val="705"/>
              </w:trPr>
              <w:tc>
                <w:tcPr>
                  <w:tcW w:w="3681" w:type="dxa"/>
                </w:tcPr>
                <w:p w:rsidR="006F3F6B" w:rsidRDefault="00A8289C" w:rsidP="006F3F6B"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助聽器-C款（數位式）</w:t>
                  </w:r>
                </w:p>
              </w:tc>
            </w:tr>
          </w:tbl>
          <w:p w:rsidR="006F3F6B" w:rsidRDefault="002A69F5" w:rsidP="006F3F6B">
            <w:hyperlink r:id="rId14" w:history="1">
              <w:r w:rsidR="006F3F6B" w:rsidRPr="00FE609D">
                <w:rPr>
                  <w:rStyle w:val="ad"/>
                </w:rPr>
                <w:t>http://repat.moi.gov.tw/cns/inside_02b2.asp?id=5072</w:t>
              </w:r>
            </w:hyperlink>
          </w:p>
        </w:tc>
      </w:tr>
    </w:tbl>
    <w:p w:rsidR="005C58B1" w:rsidRDefault="005C58B1"/>
    <w:sectPr w:rsidR="005C58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F5" w:rsidRDefault="002A69F5" w:rsidP="00FF18B8">
      <w:r>
        <w:separator/>
      </w:r>
    </w:p>
  </w:endnote>
  <w:endnote w:type="continuationSeparator" w:id="0">
    <w:p w:rsidR="002A69F5" w:rsidRDefault="002A69F5" w:rsidP="00FF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F5" w:rsidRDefault="002A69F5" w:rsidP="00FF18B8">
      <w:r>
        <w:separator/>
      </w:r>
    </w:p>
  </w:footnote>
  <w:footnote w:type="continuationSeparator" w:id="0">
    <w:p w:rsidR="002A69F5" w:rsidRDefault="002A69F5" w:rsidP="00FF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855"/>
    <w:multiLevelType w:val="hybridMultilevel"/>
    <w:tmpl w:val="F126E338"/>
    <w:lvl w:ilvl="0" w:tplc="80E8DE40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9C08C0"/>
    <w:multiLevelType w:val="hybridMultilevel"/>
    <w:tmpl w:val="C08AF1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3"/>
    <w:rsid w:val="00034947"/>
    <w:rsid w:val="000D2D3A"/>
    <w:rsid w:val="000D4A5F"/>
    <w:rsid w:val="00100FA7"/>
    <w:rsid w:val="00127245"/>
    <w:rsid w:val="00135411"/>
    <w:rsid w:val="001D783D"/>
    <w:rsid w:val="001F7B2A"/>
    <w:rsid w:val="00216094"/>
    <w:rsid w:val="002A69F5"/>
    <w:rsid w:val="00304C26"/>
    <w:rsid w:val="003B1E7D"/>
    <w:rsid w:val="003D4871"/>
    <w:rsid w:val="004B50F3"/>
    <w:rsid w:val="004B6293"/>
    <w:rsid w:val="004C4A53"/>
    <w:rsid w:val="005419C8"/>
    <w:rsid w:val="00552CCB"/>
    <w:rsid w:val="0056005C"/>
    <w:rsid w:val="00576FD8"/>
    <w:rsid w:val="00580C61"/>
    <w:rsid w:val="005A6B6B"/>
    <w:rsid w:val="005C3773"/>
    <w:rsid w:val="005C58B1"/>
    <w:rsid w:val="005D5F2C"/>
    <w:rsid w:val="006030C2"/>
    <w:rsid w:val="006A2561"/>
    <w:rsid w:val="006A52A3"/>
    <w:rsid w:val="006F3F6B"/>
    <w:rsid w:val="007632BA"/>
    <w:rsid w:val="00792BD6"/>
    <w:rsid w:val="008555A3"/>
    <w:rsid w:val="008C08E4"/>
    <w:rsid w:val="008E7A86"/>
    <w:rsid w:val="0092723A"/>
    <w:rsid w:val="00A51BBF"/>
    <w:rsid w:val="00A6031E"/>
    <w:rsid w:val="00A769CD"/>
    <w:rsid w:val="00A8289C"/>
    <w:rsid w:val="00AD5E3C"/>
    <w:rsid w:val="00AF4832"/>
    <w:rsid w:val="00B3106B"/>
    <w:rsid w:val="00C3499E"/>
    <w:rsid w:val="00D25D86"/>
    <w:rsid w:val="00D36D86"/>
    <w:rsid w:val="00D452A6"/>
    <w:rsid w:val="00D74798"/>
    <w:rsid w:val="00E13EAC"/>
    <w:rsid w:val="00E33689"/>
    <w:rsid w:val="00E43842"/>
    <w:rsid w:val="00E74ACB"/>
    <w:rsid w:val="00E85845"/>
    <w:rsid w:val="00F2169B"/>
    <w:rsid w:val="00F542BD"/>
    <w:rsid w:val="00F55646"/>
    <w:rsid w:val="00F86DDE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1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18B8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3B1E7D"/>
    <w:pPr>
      <w:jc w:val="center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8">
    <w:name w:val="註釋標題 字元"/>
    <w:basedOn w:val="a0"/>
    <w:link w:val="a7"/>
    <w:uiPriority w:val="99"/>
    <w:rsid w:val="003B1E7D"/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3B1E7D"/>
    <w:pPr>
      <w:ind w:leftChars="1800" w:left="100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a">
    <w:name w:val="結語 字元"/>
    <w:basedOn w:val="a0"/>
    <w:link w:val="a9"/>
    <w:uiPriority w:val="99"/>
    <w:rsid w:val="003B1E7D"/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C5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C58B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C58B1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B3106B"/>
    <w:pPr>
      <w:ind w:leftChars="200" w:left="480"/>
    </w:pPr>
  </w:style>
  <w:style w:type="character" w:styleId="af">
    <w:name w:val="FollowedHyperlink"/>
    <w:basedOn w:val="a0"/>
    <w:uiPriority w:val="99"/>
    <w:semiHidden/>
    <w:unhideWhenUsed/>
    <w:rsid w:val="006F3F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1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18B8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3B1E7D"/>
    <w:pPr>
      <w:jc w:val="center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8">
    <w:name w:val="註釋標題 字元"/>
    <w:basedOn w:val="a0"/>
    <w:link w:val="a7"/>
    <w:uiPriority w:val="99"/>
    <w:rsid w:val="003B1E7D"/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3B1E7D"/>
    <w:pPr>
      <w:ind w:leftChars="1800" w:left="100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a">
    <w:name w:val="結語 字元"/>
    <w:basedOn w:val="a0"/>
    <w:link w:val="a9"/>
    <w:uiPriority w:val="99"/>
    <w:rsid w:val="003B1E7D"/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C5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C58B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C58B1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B3106B"/>
    <w:pPr>
      <w:ind w:leftChars="200" w:left="480"/>
    </w:pPr>
  </w:style>
  <w:style w:type="character" w:styleId="af">
    <w:name w:val="FollowedHyperlink"/>
    <w:basedOn w:val="a0"/>
    <w:uiPriority w:val="99"/>
    <w:semiHidden/>
    <w:unhideWhenUsed/>
    <w:rsid w:val="006F3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pat.moi.gov.tw/cns/inside_02b2.asp?id=455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epat.moi.gov.tw/cns/inside_02b2.asp?id=434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repat.moi.gov.tw/cns/inside_02b2.asp?id=507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4584-2E69-4C04-A8DB-08A970B7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PUREXP</dc:creator>
  <cp:keywords/>
  <dc:description/>
  <cp:lastModifiedBy>PUREXP</cp:lastModifiedBy>
  <cp:revision>7</cp:revision>
  <dcterms:created xsi:type="dcterms:W3CDTF">2013-03-06T08:27:00Z</dcterms:created>
  <dcterms:modified xsi:type="dcterms:W3CDTF">2013-03-25T05:29:00Z</dcterms:modified>
</cp:coreProperties>
</file>